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Toc479167874"/>
      <w:bookmarkStart w:id="1" w:name="_Toc403985875"/>
      <w:bookmarkStart w:id="2" w:name="_Toc191915291"/>
      <w:r>
        <w:rPr>
          <w:rFonts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</w:rPr>
        <w:t>6</w:t>
      </w:r>
      <w:r>
        <w:rPr>
          <w:rFonts w:ascii="方正小标宋简体" w:hAnsi="黑体" w:eastAsia="方正小标宋简体"/>
          <w:sz w:val="44"/>
          <w:szCs w:val="44"/>
        </w:rPr>
        <w:t>年度</w:t>
      </w:r>
      <w:r>
        <w:rPr>
          <w:rFonts w:hint="eastAsia" w:ascii="方正小标宋简体" w:hAnsi="黑体" w:eastAsia="方正小标宋简体"/>
          <w:sz w:val="44"/>
          <w:szCs w:val="44"/>
        </w:rPr>
        <w:t>现场监测</w:t>
      </w:r>
      <w:r>
        <w:rPr>
          <w:rFonts w:ascii="方正小标宋简体" w:hAnsi="黑体" w:eastAsia="方正小标宋简体"/>
          <w:sz w:val="44"/>
          <w:szCs w:val="44"/>
        </w:rPr>
        <w:t>仪器设备运维服务</w:t>
      </w:r>
      <w:r>
        <w:rPr>
          <w:rFonts w:hint="eastAsia" w:ascii="方正小标宋简体" w:hAnsi="黑体" w:eastAsia="方正小标宋简体"/>
          <w:sz w:val="44"/>
          <w:szCs w:val="44"/>
        </w:rPr>
        <w:t>项目需求</w:t>
      </w:r>
      <w:bookmarkEnd w:id="0"/>
      <w:bookmarkEnd w:id="1"/>
      <w:bookmarkEnd w:id="2"/>
    </w:p>
    <w:p>
      <w:pPr>
        <w:spacing w:line="5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一、项目概况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为了保障实现场监测仪器设备处于良好的运行状态，保证现场监测工作正常开展，需要购买现场监测仪器设备的维护服务。本次运维设备共89台，运维设备清单详见下表。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服务周期为2026年1月1日-2026年12月31日。</w:t>
      </w:r>
    </w:p>
    <w:p>
      <w:pPr>
        <w:spacing w:line="5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二、服务内容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▲1. 为保证现场监测仪器设备始终保持稳定正常的工作状态，确保松江区日常监督监测和应急监测工作顺利开展，并确保数据准确有效，针对现场监测重要仪器设备进行专业保养。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服务期内须上海当地有本地化专业运维保养队伍，具有环境检验检测机机构现场监测设备运维保养工作经验、充足的备品备件渠道，提供固定的运维联系人</w:t>
      </w:r>
      <w:r>
        <w:rPr>
          <w:rFonts w:hint="eastAsia" w:ascii="仿宋_GB2312" w:hAnsi="仿宋_GB2312" w:eastAsia="仿宋_GB2312" w:cs="仿宋_GB2312"/>
          <w:sz w:val="30"/>
          <w:szCs w:val="30"/>
        </w:rPr>
        <w:t>员和7×24小时技术服务支持，应急状态下需提供紧急技术服务支持。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▲2.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报价方必须提供维保服务组织实施方案，</w:t>
      </w:r>
      <w:r>
        <w:rPr>
          <w:rFonts w:hint="eastAsia" w:ascii="仿宋_GB2312" w:hAnsi="仿宋_GB2312" w:eastAsia="仿宋_GB2312" w:cs="仿宋_GB2312"/>
          <w:sz w:val="30"/>
          <w:szCs w:val="30"/>
        </w:rPr>
        <w:t>包括维保服务的组织、联系和协调、记录和报告、验收与确认；工程师进行维护和维修工作，每次必须填写维护报告或维修记录单，详细记录工作过程，由甲方签字认可。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▲3. 报价方（服务周期为：2026年1月1日-2026年12月31日）需按要求提供相应的预防性保养服务，制定详细的运维计划和方案；预防性维护保养主要提供设备的清洁及保养，其目的是排除设备在长期使用过程中所产生的故障隐患，并确保设备运行状态恢复到一个较好的水平；服务内容应详细列明，如设备清洁保养、主机功能测试、更换耗材和故障零配件与维修保养服务跟踪、提供期间核查报告（</w:t>
      </w:r>
      <w:r>
        <w:rPr>
          <w:rStyle w:val="14"/>
          <w:rFonts w:hint="eastAsia" w:ascii="仿宋_GB2312" w:hAnsi="仿宋_GB2312" w:eastAsia="仿宋_GB2312"/>
          <w:sz w:val="32"/>
          <w:szCs w:val="32"/>
        </w:rPr>
        <w:t>附表：序号1-24设备</w:t>
      </w:r>
      <w:r>
        <w:rPr>
          <w:rFonts w:hint="eastAsia" w:ascii="仿宋_GB2312" w:hAnsi="仿宋_GB2312" w:eastAsia="仿宋_GB2312" w:cs="仿宋_GB2312"/>
          <w:sz w:val="30"/>
          <w:szCs w:val="30"/>
        </w:rPr>
        <w:t>）等。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▲4. 报价方需提供不限次数的故障性维修服务，并提供详细的应急保障技术服务方案，突发事件或紧急监测任务时设备故障，技术人员需在4小时内赶到现场对仪器故障进行诊断和排除，并在48小时内修复，无法在48小时内修复的需提供书面情况说明，并制定进一步维修计划，明确时间节点。进口产品特殊备件无库存或其他特殊情况需书面报告；报价方提供维护保养和维修服务后，应进行性能测试，确保仪器技术指标达到原厂合格标准，并提供相关性能测试报告提交甲方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▲5. 报价方需在甲方遇到重大事项期间提供不间断的技术服务保障，确保仪器处于正常状态，直至事项结束；报价方需在甲方监测能力建设及提升过程中提供相应的技术支持，辅助甲方顺利完成能力建设。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 报价方需提供详细的年度培训方案，并开展不少于2次的现场专项培训。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 年度运维应包含所有设备的整体维护，承担与运维服务相关的所有合理费用，其中包括工时费、差旅费、运维费用等。不包含日常维护保养耗材配件、单次维护/维修所需更换的备品备件等；由采购人非正常因素造成设备损坏的，经采购人确认维修费用另计；设备日常运行易耗材的费用另计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7.报价方必须明确针对本项目实施组织机构，包括项目经理、项目组人员职责分工、姓名、年龄、学历职称、从业经验和业绩说明；提供运维服务提供服务工程师的专用电话号码和24小时服务热线。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8.报价方需在运维期间定期对设备清单进行核实和完善，确保设备数量和情况等信息完整准确并在检定有效期内。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 提供年度运维报告，对全年运维情况、仪器状态、备品备件耗材更换情况和维修情况进行汇总分析，并对存在的问题进行分析建议，制定改进新年度的整改计划。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10.付款方式：分四次支付，每季度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考核后</w:t>
      </w:r>
      <w:r>
        <w:rPr>
          <w:rFonts w:hint="eastAsia" w:ascii="仿宋_GB2312" w:hAnsi="仿宋_GB2312" w:eastAsia="仿宋_GB2312" w:cs="仿宋_GB2312"/>
          <w:sz w:val="30"/>
          <w:szCs w:val="30"/>
        </w:rPr>
        <w:t>支付一次费用，平均支付。</w:t>
      </w:r>
    </w:p>
    <w:p>
      <w:pPr>
        <w:pStyle w:val="11"/>
        <w:spacing w:line="500" w:lineRule="exact"/>
        <w:ind w:left="42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上述需求中带“▲”号条款为重要条款，报价方须逐条逐项进行实质性响应，严重偏离将导致降低评分。</w:t>
      </w:r>
    </w:p>
    <w:p>
      <w:pPr>
        <w:pStyle w:val="11"/>
        <w:spacing w:line="500" w:lineRule="exact"/>
        <w:ind w:left="420" w:firstLine="0" w:firstLineChars="0"/>
        <w:jc w:val="left"/>
        <w:rPr>
          <w:rFonts w:hint="eastAsia" w:eastAsia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附表：2026年度现场仪器设备清单</w:t>
      </w:r>
    </w:p>
    <w:tbl>
      <w:tblPr>
        <w:tblStyle w:val="8"/>
        <w:tblW w:w="926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04"/>
        <w:gridCol w:w="2059"/>
        <w:gridCol w:w="901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仪器设备名称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型号规格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数量（台）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运维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频次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便携式大流量低浓度烟尘自动测试仪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崂应3012H-D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智能双路烟气采样器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崂应3072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智能真空箱气体采样器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崂应2080B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空气/智能TSP综合采样器（02代）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崂应2050型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威乐烟气分析仪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F550CI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多功能声级计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AWA6228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AWA5688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AHAI6256-1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AWA5680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环境振动分析仪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AWA6256B型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油气回收系统多参数检测仪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7003型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透射式烟度计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AVL DiSmoke 4000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PH计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PHBJ-260F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智能大流量TSP（PM10)采样器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恒达ZC-Q1000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YSI多参数水质仪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pro plus/pro Quatro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x、r辐射量剂监测仪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AtomtexAT1123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核与辐射安全监测设备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NBM550+EFP6092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电磁辐射分析仪(NBM550)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NBM550+EFP6092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α、β表面污染仪器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BETHOLD LB124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选频式电磁符石监测仪器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（配全向探头)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森馥 T-1062/SRF-06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31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电磁辐射分析仪（配探头）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森馥 1Hz-100KHz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探头(EHP50D)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探头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多功能辐射测量仪器(FH40GL-10配全向探头)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THERMO FH40G-L10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浊度仪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HACH2100Q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APSA-5型降水自动监测仪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APSA-5型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机动车遥感测试仪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YC1001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电子天平 FA1204B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恒温恒湿全自动称重系统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JHX-RT-CZ24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X、R辐射剂量当量率仪长杆探头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FHZ612-10 FH40TG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宽量巡测仪r射线探头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thermo FHZ672E-10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土壤重金属快速检测仪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便携式气-质联用仪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傅立叶红外气体测试仪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DeltaTox-II生物毒性检测仪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拉曼傅里叶红外线检测仪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多参数便携式比色仪DR900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(带消解仪）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便携式分光光计DR1900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自动便携式红外测油仪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便携式水质重金属检测仪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核素识别仪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RIIDEye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便携式X、γ辐射周围剂量当量率仪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6150AD6-H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X、γ个人剂量当量（率）监测仪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BG2020型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多功能气体报警仪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POLI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余氯监测仪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HACH CHLORINE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共计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numPr>
          <w:ilvl w:val="1"/>
          <w:numId w:val="0"/>
        </w:numPr>
        <w:tabs>
          <w:tab w:val="left" w:pos="720"/>
        </w:tabs>
        <w:spacing w:before="0" w:after="0" w:line="560" w:lineRule="exact"/>
        <w:rPr>
          <w:rFonts w:eastAsia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评分标准：</w:t>
      </w:r>
    </w:p>
    <w:tbl>
      <w:tblPr>
        <w:tblStyle w:val="8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1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  <w:t>综合评分指标内容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  <w:t>项目名称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  <w:t>指标及分值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  <w:t>报价（万元）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报价        （20分）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满足采购文件要求且价格最低的最终报价为评审基准价，得20分。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其他供应商的价格分统一按照下列公式计算：报价得分=20×（评审基准价/最终报价）；超过最高限价金额的投标为无效投标；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企业综合实力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（5分）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根据投标人综合服务能力，信誉程度、相关部门颁发的各类证明文件等对投标人进行综合评分，优良得4-5分，较好得2-3分，一般得1分。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服务响应    （5分）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服务内容响应情况带“▲”号条款为重要条款，报价方须逐条逐项进行实质性响应，每偏离1条扣1分（共5分）。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服务方案    （40分）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根据供应商提供的运维服务内容，包括但不限于巡检、维护内容、零部件更换、校准等进行打分。报价文件完整、内容齐全，技术方案有针对性，并切合实际保证措施完善，可操作性强好的，好的得27-40分，较好得13-26分，一般得1-12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应急预案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（5分）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根据投标人提供的应急预案，应急响应时间情况进行综合评审。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应急预案可实施性针对性强、应急响应时间完全满足或优于询价文件要求，得4-5分；较好得2-3分；一般得1分。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人员配备   （15分）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拟投入本项目的人员数量、测评人员配备、主要管理人员、近3年从事类似服务项目经验和业绩、各类人员数量和专业素质等。队伍建设合理、满足任务需求，人员配备优良得11-15分，较好得6-10分，一般得1-5分。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相关业绩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（10分）</w:t>
            </w:r>
          </w:p>
        </w:tc>
        <w:tc>
          <w:tcPr>
            <w:tcW w:w="7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投标截至日前三年内类似业绩（具体时间以合同签订日期或中标通知书落款日期为准，未注明日期或者不清楚则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不予计取，须有双方公章，不提供则不得分）每提供1个得2分，满分10分，未提供的得0分。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1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18"/>
              </w:rPr>
              <w:t>综合评定分数（100分）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157" w:right="1349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745AB"/>
    <w:multiLevelType w:val="multilevel"/>
    <w:tmpl w:val="281745AB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zMDdlZTExNTRhZmYwZmJlMThlYTRlNDY4NzYyNjMifQ=="/>
  </w:docVars>
  <w:rsids>
    <w:rsidRoot w:val="005A7978"/>
    <w:rsid w:val="00031FC3"/>
    <w:rsid w:val="000D66EC"/>
    <w:rsid w:val="00136593"/>
    <w:rsid w:val="004333E4"/>
    <w:rsid w:val="00543752"/>
    <w:rsid w:val="00587767"/>
    <w:rsid w:val="005A7978"/>
    <w:rsid w:val="00796F56"/>
    <w:rsid w:val="00804800"/>
    <w:rsid w:val="00885BE5"/>
    <w:rsid w:val="008A3722"/>
    <w:rsid w:val="00CC49B8"/>
    <w:rsid w:val="00F95821"/>
    <w:rsid w:val="00FA38DE"/>
    <w:rsid w:val="0AFD517F"/>
    <w:rsid w:val="15C0083A"/>
    <w:rsid w:val="16350680"/>
    <w:rsid w:val="164A7CDD"/>
    <w:rsid w:val="18F7F0B9"/>
    <w:rsid w:val="1AEE389F"/>
    <w:rsid w:val="224D61E4"/>
    <w:rsid w:val="281B7152"/>
    <w:rsid w:val="2D1A7B58"/>
    <w:rsid w:val="2D792451"/>
    <w:rsid w:val="2EFFAC69"/>
    <w:rsid w:val="2F7F574E"/>
    <w:rsid w:val="35DE4C22"/>
    <w:rsid w:val="39D75AC4"/>
    <w:rsid w:val="3B8D2AC4"/>
    <w:rsid w:val="3FF99678"/>
    <w:rsid w:val="48AD4952"/>
    <w:rsid w:val="4A524A3E"/>
    <w:rsid w:val="4F5FB0AE"/>
    <w:rsid w:val="4FEF786A"/>
    <w:rsid w:val="4FFCBF06"/>
    <w:rsid w:val="57BE16BF"/>
    <w:rsid w:val="59A992C8"/>
    <w:rsid w:val="5BCA171F"/>
    <w:rsid w:val="6138449D"/>
    <w:rsid w:val="6A8529DE"/>
    <w:rsid w:val="6B5F2BDE"/>
    <w:rsid w:val="71C829B2"/>
    <w:rsid w:val="77DD08FC"/>
    <w:rsid w:val="7B7B85AF"/>
    <w:rsid w:val="7CDF65A3"/>
    <w:rsid w:val="7FF1D392"/>
    <w:rsid w:val="7FF625C2"/>
    <w:rsid w:val="977F09AB"/>
    <w:rsid w:val="A6EE8D43"/>
    <w:rsid w:val="BB7F7A34"/>
    <w:rsid w:val="BCFFAEBC"/>
    <w:rsid w:val="C7FF3693"/>
    <w:rsid w:val="CA57795B"/>
    <w:rsid w:val="CFED41F7"/>
    <w:rsid w:val="D72DE26B"/>
    <w:rsid w:val="DBE8C4AF"/>
    <w:rsid w:val="DDFD496D"/>
    <w:rsid w:val="DFFF569B"/>
    <w:rsid w:val="DFFFF308"/>
    <w:rsid w:val="EAB9F971"/>
    <w:rsid w:val="EE7943E8"/>
    <w:rsid w:val="F693CB42"/>
    <w:rsid w:val="F7F717B2"/>
    <w:rsid w:val="F9FFCAFD"/>
    <w:rsid w:val="FDF79952"/>
    <w:rsid w:val="FEF0C9BA"/>
    <w:rsid w:val="FFBF596B"/>
    <w:rsid w:val="FFCF9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before="120"/>
      <w:jc w:val="left"/>
    </w:pPr>
    <w:rPr>
      <w:rFonts w:eastAsia="宋体" w:cs="Times New Roman"/>
      <w:b/>
      <w:sz w:val="24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30" w:lineRule="atLeast"/>
      <w:ind w:firstLine="360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NormalCharacter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1751</Words>
  <Characters>1769</Characters>
  <Lines>70</Lines>
  <Paragraphs>53</Paragraphs>
  <TotalTime>11</TotalTime>
  <ScaleCrop>false</ScaleCrop>
  <LinksUpToDate>false</LinksUpToDate>
  <CharactersWithSpaces>3467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2025-12-08T11:38:00Z</dcterms:created>
  <dc:creator>肖升木</dc:creator>
  <cp:lastModifiedBy>user</cp:lastModifiedBy>
  <cp:lastPrinted>2023-11-18T05:45:00Z</cp:lastPrinted>
  <dcterms:modified xsi:type="dcterms:W3CDTF">2025-12-09T13:15:04Z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9CEAB0D0E933810A58B0376963B69168</vt:lpwstr>
  </property>
  <property fmtid="{D5CDD505-2E9C-101B-9397-08002B2CF9AE}" pid="4" name="MSIP_Label_717b8430-11b4-47ed-b1b2-7ef5cdca0b43_Enabled">
    <vt:lpwstr>true</vt:lpwstr>
  </property>
  <property fmtid="{D5CDD505-2E9C-101B-9397-08002B2CF9AE}" pid="5" name="MSIP_Label_717b8430-11b4-47ed-b1b2-7ef5cdca0b43_SetDate">
    <vt:lpwstr>2023-01-29T13:00:06Z</vt:lpwstr>
  </property>
  <property fmtid="{D5CDD505-2E9C-101B-9397-08002B2CF9AE}" pid="6" name="MSIP_Label_717b8430-11b4-47ed-b1b2-7ef5cdca0b43_Method">
    <vt:lpwstr>Privileged</vt:lpwstr>
  </property>
  <property fmtid="{D5CDD505-2E9C-101B-9397-08002B2CF9AE}" pid="7" name="MSIP_Label_717b8430-11b4-47ed-b1b2-7ef5cdca0b43_Name">
    <vt:lpwstr>Public_</vt:lpwstr>
  </property>
  <property fmtid="{D5CDD505-2E9C-101B-9397-08002B2CF9AE}" pid="8" name="MSIP_Label_717b8430-11b4-47ed-b1b2-7ef5cdca0b43_SiteId">
    <vt:lpwstr>5a5c4bcf-d285-44af-8f19-ca72d454f6f7</vt:lpwstr>
  </property>
  <property fmtid="{D5CDD505-2E9C-101B-9397-08002B2CF9AE}" pid="9" name="MSIP_Label_717b8430-11b4-47ed-b1b2-7ef5cdca0b43_ActionId">
    <vt:lpwstr>109cfb78-e468-4398-96bc-1c41fe4f5f4a</vt:lpwstr>
  </property>
  <property fmtid="{D5CDD505-2E9C-101B-9397-08002B2CF9AE}" pid="10" name="MSIP_Label_717b8430-11b4-47ed-b1b2-7ef5cdca0b43_ContentBits">
    <vt:lpwstr>0</vt:lpwstr>
  </property>
  <property fmtid="{D5CDD505-2E9C-101B-9397-08002B2CF9AE}" pid="11" name="KSOTemplateDocerSaveRecord">
    <vt:lpwstr>eyJoZGlkIjoiNDQzMDdlZTExNTRhZmYwZmJlMThlYTRlNDY4NzYyNjMiLCJ1c2VySWQiOiIxMjQ3NTY4MjIyIn0=</vt:lpwstr>
  </property>
</Properties>
</file>